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E5E2B63" w:rsidR="003465ED" w:rsidRPr="00ED67B7" w:rsidRDefault="004F3669" w:rsidP="003465ED">
      <w:pPr>
        <w:spacing w:after="0"/>
        <w:ind w:firstLine="567"/>
        <w:jc w:val="right"/>
        <w:rPr>
          <w:rFonts w:ascii="PT Astra Serif" w:hAnsi="PT Astra Serif"/>
          <w:color w:val="000000"/>
        </w:rPr>
      </w:pPr>
      <w:r>
        <w:rPr>
          <w:rFonts w:ascii="PT Astra Serif" w:hAnsi="PT Astra Serif"/>
          <w:color w:val="000000"/>
        </w:rPr>
        <w:t xml:space="preserve"> </w:t>
      </w:r>
      <w:r w:rsidR="003465ED"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26F3677E" w14:textId="18AE567C" w:rsidR="00DB69CB" w:rsidRPr="00912318" w:rsidRDefault="00724BF6" w:rsidP="00DB69CB">
      <w:pPr>
        <w:pStyle w:val="13"/>
        <w:shd w:val="clear" w:color="auto" w:fill="FFFFFF"/>
        <w:spacing w:after="0" w:line="240" w:lineRule="auto"/>
        <w:jc w:val="center"/>
        <w:rPr>
          <w:rFonts w:ascii="PT Astra Serif" w:hAnsi="PT Astra Serif"/>
          <w:b/>
          <w:color w:val="000000"/>
          <w:sz w:val="22"/>
          <w:szCs w:val="22"/>
        </w:rPr>
      </w:pPr>
      <w:r>
        <w:rPr>
          <w:rFonts w:ascii="PT Astra Serif" w:hAnsi="PT Astra Serif"/>
          <w:b/>
          <w:color w:val="000000"/>
          <w:sz w:val="22"/>
          <w:szCs w:val="22"/>
        </w:rPr>
        <w:t>поставка</w:t>
      </w:r>
      <w:r w:rsidR="00677223">
        <w:rPr>
          <w:rFonts w:ascii="PT Astra Serif" w:hAnsi="PT Astra Serif"/>
          <w:b/>
          <w:color w:val="000000"/>
          <w:sz w:val="22"/>
          <w:szCs w:val="22"/>
        </w:rPr>
        <w:t xml:space="preserve"> </w:t>
      </w:r>
      <w:r>
        <w:rPr>
          <w:rFonts w:ascii="PT Astra Serif" w:hAnsi="PT Astra Serif"/>
          <w:b/>
          <w:color w:val="000000"/>
          <w:sz w:val="22"/>
          <w:szCs w:val="22"/>
        </w:rPr>
        <w:t>кресел</w:t>
      </w:r>
      <w:r>
        <w:rPr>
          <w:rFonts w:ascii="PT Astra Serif" w:hAnsi="PT Astra Serif"/>
          <w:b/>
          <w:color w:val="000099"/>
          <w:sz w:val="22"/>
          <w:szCs w:val="22"/>
        </w:rPr>
        <w:t xml:space="preserve"> для актового зала образовательного учреждения</w:t>
      </w:r>
    </w:p>
    <w:p w14:paraId="4907CF93" w14:textId="0EC8B015" w:rsidR="00DB69CB" w:rsidRPr="00912318" w:rsidRDefault="00DB69CB" w:rsidP="00DB69CB">
      <w:pPr>
        <w:pStyle w:val="13"/>
        <w:shd w:val="clear" w:color="auto" w:fill="FFFFFF"/>
        <w:spacing w:after="0" w:line="240" w:lineRule="auto"/>
        <w:jc w:val="center"/>
        <w:rPr>
          <w:rFonts w:ascii="PT Astra Serif" w:hAnsi="PT Astra Serif"/>
          <w:color w:val="000099"/>
          <w:sz w:val="22"/>
          <w:szCs w:val="22"/>
        </w:rPr>
      </w:pPr>
      <w:r w:rsidRPr="00912318">
        <w:rPr>
          <w:rFonts w:ascii="PT Astra Serif" w:hAnsi="PT Astra Serif"/>
          <w:color w:val="000099"/>
          <w:sz w:val="22"/>
          <w:szCs w:val="22"/>
        </w:rPr>
        <w:t>(ИКЗ №</w:t>
      </w:r>
      <w:r w:rsidR="00595B7B" w:rsidRPr="00595B7B">
        <w:rPr>
          <w:rFonts w:ascii="PT Astra Serif" w:hAnsi="PT Astra Serif"/>
          <w:color w:val="000099"/>
          <w:sz w:val="22"/>
          <w:szCs w:val="22"/>
        </w:rPr>
        <w:t>243862200262586220100100480013101244</w:t>
      </w:r>
      <w:r w:rsidRPr="00912318">
        <w:rPr>
          <w:rFonts w:ascii="PT Astra Serif" w:hAnsi="PT Astra Serif"/>
          <w:color w:val="000099"/>
          <w:sz w:val="22"/>
          <w:szCs w:val="22"/>
        </w:rPr>
        <w:t>)</w:t>
      </w:r>
    </w:p>
    <w:p w14:paraId="4BB311B2" w14:textId="77777777" w:rsidR="00DB69CB" w:rsidRPr="00912318" w:rsidRDefault="00DB69CB" w:rsidP="00DB69CB">
      <w:pPr>
        <w:pStyle w:val="13"/>
        <w:tabs>
          <w:tab w:val="left" w:pos="6946"/>
        </w:tabs>
        <w:spacing w:after="0" w:line="240" w:lineRule="auto"/>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23AE8555"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 xml:space="preserve">поставить </w:t>
      </w:r>
      <w:r w:rsidR="000539F8">
        <w:rPr>
          <w:rFonts w:ascii="PT Astra Serif" w:hAnsi="PT Astra Serif"/>
          <w:bCs/>
          <w:color w:val="000099"/>
          <w:sz w:val="22"/>
          <w:szCs w:val="22"/>
        </w:rPr>
        <w:t>кресла</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0F322FFE"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50542961"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6D4600">
        <w:rPr>
          <w:rFonts w:ascii="PT Astra Serif" w:hAnsi="PT Astra Serif"/>
          <w:sz w:val="22"/>
          <w:szCs w:val="22"/>
        </w:rPr>
        <w:t>тва бюджетных учреждений на 2024</w:t>
      </w:r>
      <w:r w:rsidR="00440026" w:rsidRPr="00440026">
        <w:rPr>
          <w:rFonts w:ascii="PT Astra Serif" w:hAnsi="PT Astra Serif"/>
          <w:sz w:val="22"/>
          <w:szCs w:val="22"/>
        </w:rPr>
        <w:t xml:space="preserve"> год.</w:t>
      </w:r>
    </w:p>
    <w:p w14:paraId="3B8901BD" w14:textId="1DCF8EF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0AC6DB63" w:rsidR="00216AAF" w:rsidRPr="00912318" w:rsidRDefault="00216AAF" w:rsidP="00B60097">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w:t>
      </w:r>
      <w:r w:rsidRPr="00912318">
        <w:rPr>
          <w:rFonts w:ascii="PT Astra Serif" w:hAnsi="PT Astra Serif"/>
          <w:color w:val="auto"/>
          <w:sz w:val="22"/>
          <w:szCs w:val="22"/>
        </w:rPr>
        <w:lastRenderedPageBreak/>
        <w:t>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11CCD6D" w:rsidR="00216AAF"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901B71F" w14:textId="77777777" w:rsidR="00B60097" w:rsidRPr="00912318" w:rsidRDefault="00B60097" w:rsidP="00216AAF">
      <w:pPr>
        <w:pStyle w:val="13"/>
        <w:spacing w:after="0" w:line="240" w:lineRule="auto"/>
        <w:ind w:firstLine="709"/>
        <w:jc w:val="both"/>
        <w:rPr>
          <w:rFonts w:ascii="PT Astra Serif" w:hAnsi="PT Astra Serif"/>
          <w:color w:val="auto"/>
          <w:sz w:val="22"/>
          <w:szCs w:val="22"/>
        </w:rPr>
      </w:pP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2C8EFF62" w:rsidR="00C34E20" w:rsidRPr="006D4600" w:rsidRDefault="00C34E20" w:rsidP="006D460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6D4600">
        <w:rPr>
          <w:rFonts w:ascii="PT Astra Serif" w:hAnsi="PT Astra Serif"/>
          <w:sz w:val="22"/>
          <w:szCs w:val="22"/>
        </w:rPr>
        <w:t>628260, ХМ</w:t>
      </w:r>
      <w:r w:rsidR="00FD7096">
        <w:rPr>
          <w:rFonts w:ascii="PT Astra Serif" w:hAnsi="PT Astra Serif"/>
          <w:sz w:val="22"/>
          <w:szCs w:val="22"/>
        </w:rPr>
        <w:t>АО-Югра, город Югорск, ул. Таежная з</w:t>
      </w:r>
      <w:r w:rsidR="006D4600">
        <w:rPr>
          <w:rFonts w:ascii="PT Astra Serif" w:hAnsi="PT Astra Serif"/>
          <w:sz w:val="22"/>
          <w:szCs w:val="22"/>
        </w:rPr>
        <w:t>д</w:t>
      </w:r>
      <w:r w:rsidR="00FD7096">
        <w:rPr>
          <w:rFonts w:ascii="PT Astra Serif" w:hAnsi="PT Astra Serif"/>
          <w:sz w:val="22"/>
          <w:szCs w:val="22"/>
        </w:rPr>
        <w:t xml:space="preserve">.27 </w:t>
      </w:r>
      <w:r w:rsidR="006D4600">
        <w:rPr>
          <w:rFonts w:ascii="PT Astra Serif" w:hAnsi="PT Astra Serif"/>
          <w:sz w:val="22"/>
          <w:szCs w:val="22"/>
        </w:rPr>
        <w:t xml:space="preserve"> </w:t>
      </w:r>
      <w:r w:rsidRPr="00912318">
        <w:rPr>
          <w:rFonts w:ascii="PT Astra Serif" w:hAnsi="PT Astra Serif"/>
          <w:color w:val="auto"/>
          <w:sz w:val="22"/>
          <w:szCs w:val="22"/>
        </w:rPr>
        <w:t xml:space="preserve">в срок </w:t>
      </w:r>
      <w:r w:rsidR="000539F8">
        <w:rPr>
          <w:rFonts w:ascii="PT Astra Serif" w:hAnsi="PT Astra Serif"/>
          <w:color w:val="auto"/>
          <w:sz w:val="22"/>
          <w:szCs w:val="22"/>
        </w:rPr>
        <w:t xml:space="preserve"> в течении 45 дней </w:t>
      </w:r>
      <w:r w:rsidR="00F91E4D">
        <w:rPr>
          <w:rFonts w:ascii="PT Astra Serif" w:hAnsi="PT Astra Serif"/>
          <w:color w:val="000099"/>
          <w:sz w:val="22"/>
          <w:szCs w:val="22"/>
        </w:rPr>
        <w:t>с</w:t>
      </w:r>
      <w:r w:rsidR="008631E2">
        <w:rPr>
          <w:rFonts w:ascii="PT Astra Serif" w:hAnsi="PT Astra Serif"/>
          <w:color w:val="000099"/>
          <w:sz w:val="22"/>
          <w:szCs w:val="22"/>
        </w:rPr>
        <w:t xml:space="preserve"> даты заключения гражданско-правового договора</w:t>
      </w:r>
      <w:r w:rsidRPr="00912318">
        <w:rPr>
          <w:rFonts w:ascii="PT Astra Serif" w:hAnsi="PT Astra Serif"/>
          <w:color w:val="000099"/>
          <w:sz w:val="22"/>
          <w:szCs w:val="22"/>
        </w:rPr>
        <w:t>.</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04EC0C5"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912318">
        <w:rPr>
          <w:rFonts w:ascii="PT Astra Serif" w:hAnsi="PT Astra Serif"/>
          <w:color w:val="000099"/>
          <w:sz w:val="22"/>
          <w:szCs w:val="22"/>
        </w:rPr>
        <w:t>является:</w:t>
      </w:r>
      <w:r w:rsidR="00410A9B">
        <w:rPr>
          <w:rFonts w:ascii="PT Astra Serif" w:hAnsi="PT Astra Serif"/>
          <w:color w:val="000099"/>
          <w:sz w:val="22"/>
          <w:szCs w:val="22"/>
        </w:rPr>
        <w:t>__________________</w:t>
      </w:r>
      <w:r w:rsidRPr="00912318">
        <w:rPr>
          <w:rFonts w:ascii="PT Astra Serif" w:hAnsi="PT Astra Serif"/>
          <w:color w:val="000099"/>
          <w:sz w:val="22"/>
          <w:szCs w:val="22"/>
        </w:rPr>
        <w:t xml:space="preserve">. </w:t>
      </w:r>
    </w:p>
    <w:p w14:paraId="54AD2B8C" w14:textId="307E16CB" w:rsidR="00C951E7" w:rsidRPr="00912318" w:rsidRDefault="00C951E7"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p>
    <w:p w14:paraId="42AC978E" w14:textId="7D90B677"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4055A18F"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5552F2CE"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8F0DB26"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98A1540"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117793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6AE697D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w:t>
      </w:r>
      <w:r w:rsidRPr="00912318">
        <w:rPr>
          <w:rFonts w:ascii="PT Astra Serif" w:hAnsi="PT Astra Serif"/>
          <w:sz w:val="22"/>
          <w:szCs w:val="22"/>
        </w:rPr>
        <w:lastRenderedPageBreak/>
        <w:t xml:space="preserve">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4F29C2C5"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CA9E77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0E99B07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2F85D89"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 требовать от Поставщика надлежащего исполнения обязательств по Контракту;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2307140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w:t>
      </w:r>
      <w:r w:rsidR="00E04E55" w:rsidRPr="00E04E55">
        <w:rPr>
          <w:rFonts w:ascii="PT Astra Serif" w:hAnsi="PT Astra Serif" w:cs="Times New Roman"/>
          <w:sz w:val="22"/>
          <w:szCs w:val="22"/>
        </w:rPr>
        <w:t>от начальной (максимальной) цены контракта (договора)</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7777777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6.9. Применение неустойки (штрафа, пени) не освобождает Стороны от исполнения обязательств по Контракту.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64F8B3D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lastRenderedPageBreak/>
        <w:t xml:space="preserve">7. Обеспечение исполнения </w:t>
      </w:r>
      <w:r w:rsidR="00440026">
        <w:rPr>
          <w:rFonts w:ascii="PT Astra Serif" w:hAnsi="PT Astra Serif"/>
          <w:b/>
          <w:sz w:val="22"/>
          <w:szCs w:val="22"/>
        </w:rPr>
        <w:t>Договора</w:t>
      </w:r>
    </w:p>
    <w:p w14:paraId="3ED23F0A" w14:textId="77777777" w:rsidR="00801319" w:rsidRPr="00F835BD" w:rsidRDefault="00801319" w:rsidP="00801319">
      <w:pPr>
        <w:jc w:val="center"/>
      </w:pPr>
    </w:p>
    <w:p w14:paraId="52F4A0CE" w14:textId="4609D473" w:rsidR="00E04E55" w:rsidRPr="00E04E55" w:rsidRDefault="00E04E55" w:rsidP="00E04E55">
      <w:pPr>
        <w:tabs>
          <w:tab w:val="left" w:pos="709"/>
        </w:tabs>
        <w:autoSpaceDE w:val="0"/>
        <w:autoSpaceDN w:val="0"/>
        <w:adjustRightInd w:val="0"/>
      </w:pPr>
      <w:r w:rsidRPr="00E04E55">
        <w:t xml:space="preserve">7.1. Обеспечение исполнения </w:t>
      </w:r>
      <w:r w:rsidRPr="00E04E55">
        <w:rPr>
          <w:i/>
        </w:rPr>
        <w:t>Договора</w:t>
      </w:r>
      <w:r w:rsidRPr="00E04E55">
        <w:t xml:space="preserve"> устанавливается в</w:t>
      </w:r>
      <w:r w:rsidR="00690228">
        <w:t xml:space="preserve"> размере 137 232 рублей 96  копеек</w:t>
      </w:r>
      <w:r w:rsidRPr="00E04E55">
        <w:t>.</w:t>
      </w:r>
    </w:p>
    <w:p w14:paraId="0DC9CE1D" w14:textId="194DF2F8" w:rsidR="00E04E55" w:rsidRPr="00E04E55" w:rsidRDefault="00E04E55" w:rsidP="00E04E55">
      <w:pPr>
        <w:tabs>
          <w:tab w:val="left" w:pos="709"/>
        </w:tabs>
        <w:autoSpaceDE w:val="0"/>
        <w:autoSpaceDN w:val="0"/>
        <w:adjustRightInd w:val="0"/>
      </w:pPr>
      <w:r w:rsidRPr="00E04E55">
        <w:t xml:space="preserve">В случае если </w:t>
      </w:r>
      <w:r w:rsidRPr="00E04E55">
        <w:rPr>
          <w:i/>
        </w:rPr>
        <w:t xml:space="preserve">Договором </w:t>
      </w:r>
      <w:r w:rsidRPr="00E04E55">
        <w:t xml:space="preserve">предусмотрены отдельные этапы его исполнения размер обеспечения исполнения </w:t>
      </w:r>
      <w:r w:rsidRPr="00E04E55">
        <w:rPr>
          <w:i/>
        </w:rPr>
        <w:t>Договора</w:t>
      </w:r>
      <w:r w:rsidRPr="00E04E55">
        <w:t xml:space="preserve"> в ходе исполнения </w:t>
      </w:r>
      <w:r w:rsidRPr="00E04E55">
        <w:rPr>
          <w:i/>
        </w:rPr>
        <w:t>Договора</w:t>
      </w:r>
      <w:r w:rsidR="00690228">
        <w:t xml:space="preserve"> </w:t>
      </w:r>
      <w:r w:rsidRPr="00E04E55">
        <w:t>подлежит уменьшению в порядке и случаях, которые п</w:t>
      </w:r>
      <w:r w:rsidR="00690228">
        <w:t xml:space="preserve">редусмотрены пунктами 7.6 и 7.7 </w:t>
      </w:r>
      <w:r w:rsidRPr="00E04E55">
        <w:rPr>
          <w:i/>
        </w:rPr>
        <w:t>Договора</w:t>
      </w:r>
      <w:r w:rsidRPr="00E04E55">
        <w:t>.</w:t>
      </w:r>
    </w:p>
    <w:p w14:paraId="2DF47264" w14:textId="6CD7A2CA" w:rsidR="00E04E55" w:rsidRPr="00E04E55" w:rsidRDefault="00690228" w:rsidP="00E04E55">
      <w:pPr>
        <w:tabs>
          <w:tab w:val="left" w:pos="709"/>
        </w:tabs>
        <w:autoSpaceDE w:val="0"/>
        <w:autoSpaceDN w:val="0"/>
        <w:adjustRightInd w:val="0"/>
      </w:pPr>
      <w:r>
        <w:t xml:space="preserve">7.2. Исполнение </w:t>
      </w:r>
      <w:r w:rsidR="00E04E55" w:rsidRPr="00E04E55">
        <w:rPr>
          <w:i/>
        </w:rPr>
        <w:t>Договора</w:t>
      </w:r>
      <w:r w:rsidR="00E04E55" w:rsidRPr="00E04E55">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5D52FFC" w14:textId="47C90AE9" w:rsidR="00E04E55" w:rsidRPr="00E04E55" w:rsidRDefault="00E04E55" w:rsidP="00E04E55">
      <w:pPr>
        <w:tabs>
          <w:tab w:val="left" w:pos="709"/>
        </w:tabs>
        <w:autoSpaceDE w:val="0"/>
        <w:autoSpaceDN w:val="0"/>
        <w:adjustRightInd w:val="0"/>
      </w:pPr>
      <w:r w:rsidRPr="00E04E55">
        <w:t xml:space="preserve">Способ обеспечения исполнения </w:t>
      </w:r>
      <w:r w:rsidRPr="00E04E55">
        <w:rPr>
          <w:i/>
        </w:rPr>
        <w:t>Договора</w:t>
      </w:r>
      <w:r w:rsidRPr="00E04E55">
        <w:t>,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w:t>
      </w:r>
      <w:r w:rsidR="00690228">
        <w:t xml:space="preserve"> закупки, с которым заключается </w:t>
      </w:r>
      <w:r w:rsidRPr="00E04E55">
        <w:rPr>
          <w:i/>
        </w:rPr>
        <w:t>Договор</w:t>
      </w:r>
      <w:r w:rsidRPr="00E04E55">
        <w:t>, самостоятельно.</w:t>
      </w:r>
    </w:p>
    <w:p w14:paraId="2E9E9F3B" w14:textId="10394BC9" w:rsidR="00E04E55" w:rsidRPr="00E04E55" w:rsidRDefault="00E04E55" w:rsidP="00E04E55">
      <w:pPr>
        <w:tabs>
          <w:tab w:val="left" w:pos="709"/>
        </w:tabs>
        <w:autoSpaceDE w:val="0"/>
        <w:autoSpaceDN w:val="0"/>
        <w:adjustRightInd w:val="0"/>
      </w:pPr>
      <w:r w:rsidRPr="00E04E55">
        <w:t xml:space="preserve">Срок действия независимой гарантии должен превышать предусмотренный </w:t>
      </w:r>
      <w:r w:rsidRPr="00E04E55">
        <w:rPr>
          <w:i/>
        </w:rPr>
        <w:t xml:space="preserve">Договором </w:t>
      </w:r>
      <w:r w:rsidRPr="00E04E55">
        <w:t>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64F5541" w14:textId="002E9DF9" w:rsidR="00E04E55" w:rsidRPr="00E04E55" w:rsidRDefault="00E04E55" w:rsidP="00E04E55">
      <w:pPr>
        <w:tabs>
          <w:tab w:val="left" w:pos="709"/>
        </w:tabs>
        <w:autoSpaceDE w:val="0"/>
        <w:autoSpaceDN w:val="0"/>
        <w:adjustRightInd w:val="0"/>
      </w:pPr>
      <w:bookmarkStart w:id="4" w:name="P1576"/>
      <w:bookmarkEnd w:id="4"/>
      <w:r w:rsidRPr="00E04E55">
        <w:t xml:space="preserve">7.3. Денежные средства, внесенные Поставщиком в качестве обеспечения исполнения </w:t>
      </w:r>
      <w:r w:rsidRPr="00E04E55">
        <w:rPr>
          <w:i/>
        </w:rPr>
        <w:t>Договора</w:t>
      </w:r>
      <w:r w:rsidRPr="00E04E55">
        <w:t xml:space="preserve">, в том числе часть этих денежных средств в случае уменьшения размера обеспечения исполнения </w:t>
      </w:r>
      <w:r w:rsidRPr="00E04E55">
        <w:rPr>
          <w:i/>
        </w:rPr>
        <w:t>Договора</w:t>
      </w:r>
      <w:r w:rsidRPr="00E04E55">
        <w:t xml:space="preserve"> в соответствии с пунктами 7.1, 7.5 и 7.6 </w:t>
      </w:r>
      <w:r w:rsidRPr="00E04E55">
        <w:rPr>
          <w:i/>
        </w:rPr>
        <w:t>Договора</w:t>
      </w:r>
      <w:r w:rsidRPr="00E04E55">
        <w:t>, возвращаются Поставщику в</w:t>
      </w:r>
      <w:r w:rsidR="00690228">
        <w:t xml:space="preserve"> срок 30 дней</w:t>
      </w:r>
      <w:r w:rsidRPr="00E04E55">
        <w:t xml:space="preserve">  с даты исполнения Поставщиком обязательств, предусмотренных </w:t>
      </w:r>
      <w:r w:rsidRPr="00E04E55">
        <w:rPr>
          <w:i/>
        </w:rPr>
        <w:t>Договором</w:t>
      </w:r>
      <w:r w:rsidRPr="00E04E55">
        <w:t xml:space="preserve"> (если такая форма обеспечения исполнения </w:t>
      </w:r>
      <w:r w:rsidRPr="00E04E55">
        <w:rPr>
          <w:i/>
        </w:rPr>
        <w:t>Договора</w:t>
      </w:r>
      <w:r w:rsidRPr="00E04E55">
        <w:t xml:space="preserve"> применяется Поставщиком).</w:t>
      </w:r>
    </w:p>
    <w:p w14:paraId="7C8668A4" w14:textId="7E49ACDF" w:rsidR="00E04E55" w:rsidRPr="00E04E55" w:rsidRDefault="00E04E55" w:rsidP="00E04E55">
      <w:pPr>
        <w:tabs>
          <w:tab w:val="left" w:pos="709"/>
        </w:tabs>
        <w:autoSpaceDE w:val="0"/>
        <w:autoSpaceDN w:val="0"/>
        <w:adjustRightInd w:val="0"/>
      </w:pPr>
      <w:bookmarkStart w:id="5" w:name="P1577"/>
      <w:bookmarkEnd w:id="5"/>
      <w:r w:rsidRPr="00E04E55">
        <w:t xml:space="preserve">7.4. Независимая гарантия, предоставленная в качестве обеспечения исполнения </w:t>
      </w:r>
      <w:r w:rsidRPr="00E04E55">
        <w:rPr>
          <w:i/>
        </w:rPr>
        <w:t>Договора</w:t>
      </w:r>
      <w:r w:rsidRPr="00E04E55">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4B69471A" w14:textId="7A243F36" w:rsidR="00E04E55" w:rsidRPr="00E04E55" w:rsidRDefault="00E04E55" w:rsidP="00E04E55">
      <w:pPr>
        <w:tabs>
          <w:tab w:val="left" w:pos="709"/>
        </w:tabs>
        <w:autoSpaceDE w:val="0"/>
        <w:autoSpaceDN w:val="0"/>
        <w:adjustRightInd w:val="0"/>
      </w:pPr>
      <w:bookmarkStart w:id="6" w:name="P1578"/>
      <w:bookmarkEnd w:id="6"/>
      <w:r w:rsidRPr="00E04E55">
        <w:t xml:space="preserve">7.5. В ходе исполнения </w:t>
      </w:r>
      <w:r w:rsidRPr="00E04E55">
        <w:rPr>
          <w:i/>
        </w:rPr>
        <w:t>Договора</w:t>
      </w:r>
      <w:r w:rsidRPr="00E04E55">
        <w:t xml:space="preserve"> Поставщик вправе изменить способ обеспечения исполнения </w:t>
      </w:r>
      <w:r w:rsidRPr="00E04E55">
        <w:rPr>
          <w:i/>
        </w:rPr>
        <w:t>Договора</w:t>
      </w:r>
      <w:r w:rsidRPr="00E04E55">
        <w:t xml:space="preserve"> и (или) предоставить Заказчику взамен ранее предоставленного обеспечения исполнения </w:t>
      </w:r>
      <w:r w:rsidRPr="00E04E55">
        <w:rPr>
          <w:i/>
        </w:rPr>
        <w:t>Договора</w:t>
      </w:r>
      <w:r w:rsidRPr="00E04E55">
        <w:t xml:space="preserve"> новое обеспечение исполнения </w:t>
      </w:r>
      <w:r w:rsidRPr="00E04E55">
        <w:rPr>
          <w:i/>
        </w:rPr>
        <w:t>Договора</w:t>
      </w:r>
      <w:r w:rsidRPr="00E04E55">
        <w:t xml:space="preserve">, размер которого может быть уменьшен в порядке и случаях, которые предусмотрены пунктами 7.6 и 7.7 </w:t>
      </w:r>
      <w:r w:rsidRPr="00E04E55">
        <w:rPr>
          <w:i/>
        </w:rPr>
        <w:t>Договора</w:t>
      </w:r>
      <w:r w:rsidRPr="00E04E55">
        <w:t>.</w:t>
      </w:r>
    </w:p>
    <w:p w14:paraId="20D97D19" w14:textId="39A431F2" w:rsidR="00E04E55" w:rsidRPr="00E04E55" w:rsidRDefault="00E04E55" w:rsidP="00E04E55">
      <w:pPr>
        <w:tabs>
          <w:tab w:val="left" w:pos="709"/>
        </w:tabs>
        <w:autoSpaceDE w:val="0"/>
        <w:autoSpaceDN w:val="0"/>
        <w:adjustRightInd w:val="0"/>
      </w:pPr>
      <w:bookmarkStart w:id="7" w:name="P1579"/>
      <w:bookmarkEnd w:id="7"/>
      <w:r w:rsidRPr="00E04E55">
        <w:t xml:space="preserve">7.6. Размер обеспечения исполнения </w:t>
      </w:r>
      <w:r w:rsidRPr="00E04E55">
        <w:rPr>
          <w:i/>
        </w:rPr>
        <w:t>Договора</w:t>
      </w:r>
      <w:r w:rsidRPr="00E04E55">
        <w:t xml:space="preserve">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w:t>
      </w:r>
      <w:r w:rsidRPr="00E04E55">
        <w:rPr>
          <w:i/>
        </w:rPr>
        <w:t>Договора</w:t>
      </w:r>
      <w:r w:rsidRPr="00E04E55">
        <w:t xml:space="preserve">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Pr="00E04E55">
        <w:rPr>
          <w:i/>
        </w:rPr>
        <w:t>Договора</w:t>
      </w:r>
      <w:r w:rsidRPr="00E04E55">
        <w:t xml:space="preserve">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sidRPr="00E04E55">
        <w:rPr>
          <w:i/>
        </w:rPr>
        <w:t>Договором</w:t>
      </w:r>
      <w:r w:rsidRPr="00E04E55">
        <w:t xml:space="preserve">. В случае, если обеспечение исполнения </w:t>
      </w:r>
      <w:r w:rsidRPr="00E04E55">
        <w:rPr>
          <w:i/>
        </w:rPr>
        <w:t>Договора</w:t>
      </w:r>
      <w:r w:rsidRPr="00E04E55">
        <w:t xml:space="preserve">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Pr="00E04E55">
        <w:rPr>
          <w:i/>
        </w:rPr>
        <w:t>Договора</w:t>
      </w:r>
      <w:r w:rsidRPr="00E04E55">
        <w:t>, рассчитанного Заказчиком на осн</w:t>
      </w:r>
      <w:r w:rsidR="00690228">
        <w:t xml:space="preserve">овании информации об исполнении </w:t>
      </w:r>
      <w:r w:rsidRPr="00E04E55">
        <w:rPr>
          <w:i/>
        </w:rPr>
        <w:t>Договора</w:t>
      </w:r>
      <w:r w:rsidRPr="00E04E55">
        <w:t xml:space="preserve">, размещенной в реестре контрактов. В случае, если обеспечение исполнения </w:t>
      </w:r>
      <w:r w:rsidRPr="00E04E55">
        <w:rPr>
          <w:i/>
        </w:rPr>
        <w:t>Договора</w:t>
      </w:r>
      <w:r w:rsidRPr="00E04E55">
        <w:t xml:space="preserve"> осуществляется путем внесения денежных средств на счет, указанный Заказчиком, по заявлению Поставщика ему возвращаются Заказчиком в установленный в пункте 7.3 </w:t>
      </w:r>
      <w:r w:rsidRPr="00E04E55">
        <w:rPr>
          <w:i/>
        </w:rPr>
        <w:t>Договора</w:t>
      </w:r>
      <w:r w:rsidRPr="00E04E55">
        <w:t xml:space="preserve"> срок денежные средства в сумме, на которую уменьшен размер обеспечения исполнения </w:t>
      </w:r>
      <w:r w:rsidRPr="00E04E55">
        <w:rPr>
          <w:i/>
        </w:rPr>
        <w:t>Договора</w:t>
      </w:r>
      <w:r w:rsidRPr="00E04E55">
        <w:t xml:space="preserve">, рассчитанный Заказчиком на основании информации об исполнении </w:t>
      </w:r>
      <w:r w:rsidRPr="00E04E55">
        <w:rPr>
          <w:i/>
        </w:rPr>
        <w:t>Договора</w:t>
      </w:r>
      <w:r w:rsidRPr="00E04E55">
        <w:t>, размещенной в реестре контрактов.</w:t>
      </w:r>
    </w:p>
    <w:p w14:paraId="52A0FAF4" w14:textId="739C374D" w:rsidR="00E04E55" w:rsidRPr="00E04E55" w:rsidRDefault="00E04E55" w:rsidP="00E04E55">
      <w:pPr>
        <w:tabs>
          <w:tab w:val="left" w:pos="709"/>
        </w:tabs>
        <w:autoSpaceDE w:val="0"/>
        <w:autoSpaceDN w:val="0"/>
        <w:adjustRightInd w:val="0"/>
      </w:pPr>
      <w:bookmarkStart w:id="8" w:name="P1580"/>
      <w:bookmarkEnd w:id="8"/>
      <w:r w:rsidRPr="00E04E55">
        <w:lastRenderedPageBreak/>
        <w:t xml:space="preserve">7.7. Предусмотренное пунктами 7.1 и 7.5 </w:t>
      </w:r>
      <w:r w:rsidRPr="00E04E55">
        <w:rPr>
          <w:i/>
        </w:rPr>
        <w:t>Договора</w:t>
      </w:r>
      <w:r w:rsidRPr="00E04E55">
        <w:t xml:space="preserve"> уменьшение размера обеспечения исполнения </w:t>
      </w:r>
      <w:r w:rsidRPr="00E04E55">
        <w:rPr>
          <w:i/>
        </w:rPr>
        <w:t>Договора</w:t>
      </w:r>
      <w:r w:rsidRPr="00E04E55">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VI </w:t>
      </w:r>
      <w:r w:rsidRPr="00E04E55">
        <w:rPr>
          <w:i/>
        </w:rPr>
        <w:t>Договора</w:t>
      </w:r>
      <w:r w:rsidRPr="00E04E55">
        <w:t xml:space="preserve">, а также приемки Заказчиком поставленного Товара, результатов отдельного этапа исполнения </w:t>
      </w:r>
      <w:r w:rsidRPr="00E04E55">
        <w:rPr>
          <w:i/>
        </w:rPr>
        <w:t>Договора</w:t>
      </w:r>
      <w:r w:rsidRPr="00E04E55">
        <w:t xml:space="preserve"> в объеме выплаченного аванса (если </w:t>
      </w:r>
      <w:r w:rsidRPr="00E04E55">
        <w:rPr>
          <w:i/>
        </w:rPr>
        <w:t xml:space="preserve">Договором </w:t>
      </w:r>
      <w:r w:rsidRPr="00E04E55">
        <w:t xml:space="preserve">предусмотрена выплата аванса) либо в объеме, превышающем выплаченный аванс (если в соответствии с законодательством </w:t>
      </w:r>
      <w:r w:rsidR="00690228">
        <w:t xml:space="preserve">Российской Федерации расчеты по </w:t>
      </w:r>
      <w:r w:rsidRPr="00E04E55">
        <w:rPr>
          <w:i/>
        </w:rPr>
        <w:t xml:space="preserve">Договору </w:t>
      </w:r>
      <w:r w:rsidRPr="00E04E55">
        <w:t>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4C83870" w14:textId="492D5328" w:rsidR="00E04E55" w:rsidRPr="00E04E55" w:rsidRDefault="00E04E55" w:rsidP="00E04E55">
      <w:pPr>
        <w:tabs>
          <w:tab w:val="left" w:pos="709"/>
        </w:tabs>
        <w:autoSpaceDE w:val="0"/>
        <w:autoSpaceDN w:val="0"/>
        <w:adjustRightInd w:val="0"/>
      </w:pPr>
      <w:bookmarkStart w:id="9" w:name="P1581"/>
      <w:bookmarkEnd w:id="9"/>
      <w:r w:rsidRPr="00E04E55">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Pr="00E04E55">
        <w:rPr>
          <w:i/>
        </w:rPr>
        <w:t>Договора</w:t>
      </w:r>
      <w:r w:rsidRPr="00E04E55">
        <w:t xml:space="preserve">, лицензии на осуществление банковских операций, Поставщик обязан предоставить новое обеспечение исполнения </w:t>
      </w:r>
      <w:r w:rsidRPr="00E04E55">
        <w:rPr>
          <w:i/>
        </w:rPr>
        <w:t>Договора</w:t>
      </w:r>
      <w:r w:rsidRPr="00E04E55">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Pr="00E04E55">
        <w:rPr>
          <w:i/>
        </w:rPr>
        <w:t>Договора</w:t>
      </w:r>
      <w:r w:rsidRPr="00E04E55">
        <w:t>.</w:t>
      </w:r>
    </w:p>
    <w:p w14:paraId="1029D358" w14:textId="0E7A0E0C" w:rsidR="00E04E55" w:rsidRPr="00E04E55" w:rsidRDefault="00E04E55" w:rsidP="00E04E55">
      <w:pPr>
        <w:tabs>
          <w:tab w:val="left" w:pos="709"/>
        </w:tabs>
        <w:autoSpaceDE w:val="0"/>
        <w:autoSpaceDN w:val="0"/>
        <w:adjustRightInd w:val="0"/>
      </w:pPr>
      <w:r w:rsidRPr="00E04E55">
        <w:t xml:space="preserve">7.9. Уменьшение в соответствии с пунктами 7.1 и 7.5 </w:t>
      </w:r>
      <w:r w:rsidRPr="00E04E55">
        <w:rPr>
          <w:i/>
        </w:rPr>
        <w:t>Договора</w:t>
      </w:r>
      <w:r w:rsidRPr="00E04E55">
        <w:t xml:space="preserve"> </w:t>
      </w:r>
      <w:r w:rsidR="00690228">
        <w:t xml:space="preserve">размера обеспечения исполнения </w:t>
      </w:r>
      <w:r w:rsidRPr="00E04E55">
        <w:rPr>
          <w:i/>
        </w:rPr>
        <w:t>Договора</w:t>
      </w:r>
      <w:r w:rsidRPr="00E04E55">
        <w:t xml:space="preserve">,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7.6 </w:t>
      </w:r>
      <w:r w:rsidRPr="00E04E55">
        <w:rPr>
          <w:i/>
        </w:rPr>
        <w:t>Договора</w:t>
      </w:r>
      <w:r w:rsidRPr="00E04E55">
        <w:t xml:space="preserve"> информации в реестр контрактов.</w:t>
      </w:r>
    </w:p>
    <w:p w14:paraId="2F9D825B" w14:textId="7F238D51" w:rsidR="00E04E55" w:rsidRPr="00E04E55" w:rsidRDefault="00E04E55" w:rsidP="00E04E55">
      <w:pPr>
        <w:tabs>
          <w:tab w:val="left" w:pos="709"/>
        </w:tabs>
        <w:autoSpaceDE w:val="0"/>
        <w:autoSpaceDN w:val="0"/>
        <w:adjustRightInd w:val="0"/>
      </w:pPr>
      <w:r w:rsidRPr="00E04E55">
        <w:t>7.10. В случае предоставления нового обеспечения исполнения Контракта в со</w:t>
      </w:r>
      <w:r w:rsidR="00A13002">
        <w:t xml:space="preserve">ответствии с пунктами 7.5 и 7.8 </w:t>
      </w:r>
      <w:r w:rsidRPr="00E04E55">
        <w:rPr>
          <w:i/>
        </w:rPr>
        <w:t>Договора</w:t>
      </w:r>
      <w:r w:rsidRPr="00E04E55">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715BE32" w14:textId="77777777" w:rsidR="00E04E55" w:rsidRPr="00E04E55" w:rsidRDefault="00E04E55" w:rsidP="00E04E55">
      <w:pPr>
        <w:tabs>
          <w:tab w:val="left" w:pos="709"/>
        </w:tabs>
        <w:autoSpaceDE w:val="0"/>
        <w:autoSpaceDN w:val="0"/>
        <w:adjustRightInd w:val="0"/>
      </w:pPr>
      <w:bookmarkStart w:id="10" w:name="P1584"/>
      <w:bookmarkEnd w:id="10"/>
      <w:r w:rsidRPr="00E04E55">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D485373" w14:textId="77777777" w:rsidR="00E04E55" w:rsidRPr="00E04E55" w:rsidRDefault="00E04E55" w:rsidP="00E04E55">
      <w:pPr>
        <w:tabs>
          <w:tab w:val="left" w:pos="709"/>
        </w:tabs>
        <w:autoSpaceDE w:val="0"/>
        <w:autoSpaceDN w:val="0"/>
        <w:adjustRightInd w:val="0"/>
        <w:rPr>
          <w:iCs/>
        </w:rPr>
      </w:pP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3C731F98" w14:textId="4EB7D712" w:rsidR="00E04E55" w:rsidRDefault="00E04E55" w:rsidP="00E04E55">
      <w:r>
        <w:t xml:space="preserve">8.1. </w:t>
      </w:r>
      <w:r>
        <w:t>Обеспечение гарантийных обязательств предоставляется Поставщиком до оформления структурированного документа о приемке.</w:t>
      </w:r>
    </w:p>
    <w:p w14:paraId="278FCBDC" w14:textId="481DF0B7" w:rsidR="00E04E55" w:rsidRDefault="00E04E55" w:rsidP="00E04E55">
      <w:r>
        <w:t>8.2. Обеспечение гарантийных обязательств уст</w:t>
      </w:r>
      <w:r>
        <w:t>анавливается в размере 274 465 рублей 92 копейки</w:t>
      </w:r>
      <w:r>
        <w:t>.</w:t>
      </w:r>
    </w:p>
    <w:p w14:paraId="528C6EE4" w14:textId="77777777" w:rsidR="00E04E55" w:rsidRDefault="00E04E55" w:rsidP="00E04E55">
      <w:r>
        <w:t>8.3. 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708714F7" w14:textId="3832F91A" w:rsidR="00E04E55" w:rsidRDefault="00E04E55" w:rsidP="00E04E55">
      <w: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w:t>
      </w:r>
      <w:r>
        <w:t xml:space="preserve"> с которым заключается </w:t>
      </w:r>
      <w:r>
        <w:t>Договор, самостоятельно.</w:t>
      </w:r>
    </w:p>
    <w:p w14:paraId="093C3667" w14:textId="764042C4" w:rsidR="00E04E55" w:rsidRDefault="00E04E55" w:rsidP="00E04E55">
      <w:r>
        <w:t>Срок действия независимой гарантии должен превы</w:t>
      </w:r>
      <w:r>
        <w:t xml:space="preserve">шать предусмотренный </w:t>
      </w:r>
      <w:r>
        <w:t>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FFCBD5" w14:textId="77777777" w:rsidR="00E04E55" w:rsidRDefault="00E04E55" w:rsidP="00E04E55">
      <w:r>
        <w:lastRenderedPageBreak/>
        <w:t xml:space="preserve">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213B8FFC" w14:textId="77777777" w:rsidR="00E04E55" w:rsidRDefault="00E04E55" w:rsidP="00E04E55">
      <w: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050F75B7" w14:textId="1D08EE29" w:rsidR="00E04E55" w:rsidRDefault="00E04E55" w:rsidP="00E04E55">
      <w:r>
        <w:t>8.6. Участник закупки,</w:t>
      </w:r>
      <w:r>
        <w:t xml:space="preserve"> с которым заключается </w:t>
      </w:r>
      <w:r>
        <w:t xml:space="preserve">Договор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w:t>
      </w:r>
      <w:r>
        <w:t xml:space="preserve">закупки до заключения </w:t>
      </w:r>
      <w:r>
        <w:t>Договора в случаях, установленных Федеральным</w:t>
      </w:r>
      <w:r>
        <w:t xml:space="preserve"> законом от 05.04.2013 № 44-ФЗ </w:t>
      </w:r>
      <w:r>
        <w:t>«О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w:t>
      </w:r>
      <w:r>
        <w:t xml:space="preserve">й (максимальной) цены </w:t>
      </w:r>
      <w:r>
        <w:t xml:space="preserve">Договора, указанной в извещении об осуществлении закупки и документации о закупке. </w:t>
      </w:r>
    </w:p>
    <w:p w14:paraId="4502A7CD" w14:textId="47BB0286" w:rsidR="004F3669" w:rsidRDefault="00E04E55" w:rsidP="00E04E55">
      <w:r>
        <w:t>8.7. Положен</w:t>
      </w:r>
      <w:r>
        <w:t xml:space="preserve">ия настоящего раздела </w:t>
      </w:r>
      <w:r>
        <w:t>Договора не применяютс</w:t>
      </w:r>
      <w:r>
        <w:t xml:space="preserve">я в случае заключения </w:t>
      </w:r>
      <w:r>
        <w:t>Договора с участником закупки, который является казенным учреждением.</w:t>
      </w:r>
    </w:p>
    <w:p w14:paraId="3015CB6D" w14:textId="77777777" w:rsidR="00E04E55" w:rsidRDefault="00E04E55" w:rsidP="00E04E55"/>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11.4. При неурегулировании Сторонами спора в досудебном порядке, спор разрешается в судебном </w:t>
      </w:r>
      <w:r w:rsidRPr="00912318">
        <w:rPr>
          <w:rFonts w:ascii="PT Astra Serif" w:hAnsi="PT Astra Serif"/>
          <w:color w:val="auto"/>
          <w:sz w:val="22"/>
          <w:szCs w:val="22"/>
        </w:rPr>
        <w:lastRenderedPageBreak/>
        <w:t>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A1FFA1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6915C8EB"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другая Сторона имеет право расторгнуть настоящий контракт.</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13886DB6"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000539F8">
        <w:rPr>
          <w:rFonts w:ascii="PT Astra Serif" w:hAnsi="PT Astra Serif"/>
          <w:color w:val="000099"/>
          <w:sz w:val="22"/>
          <w:szCs w:val="22"/>
        </w:rPr>
        <w:t>действует по 30</w:t>
      </w:r>
      <w:r w:rsidRPr="00912318">
        <w:rPr>
          <w:rFonts w:ascii="PT Astra Serif" w:hAnsi="PT Astra Serif"/>
          <w:color w:val="000099"/>
          <w:sz w:val="22"/>
          <w:szCs w:val="22"/>
        </w:rPr>
        <w:t>.</w:t>
      </w:r>
      <w:r w:rsidR="00410A9B">
        <w:rPr>
          <w:rFonts w:ascii="PT Astra Serif" w:hAnsi="PT Astra Serif"/>
          <w:color w:val="000099"/>
          <w:sz w:val="22"/>
          <w:szCs w:val="22"/>
        </w:rPr>
        <w:t>06</w:t>
      </w:r>
      <w:r w:rsidR="006D4600">
        <w:rPr>
          <w:rFonts w:ascii="PT Astra Serif" w:hAnsi="PT Astra Serif"/>
          <w:color w:val="000099"/>
          <w:sz w:val="22"/>
          <w:szCs w:val="22"/>
        </w:rPr>
        <w:t>.202</w:t>
      </w:r>
      <w:r w:rsidR="00677223">
        <w:rPr>
          <w:rFonts w:ascii="PT Astra Serif" w:hAnsi="PT Astra Serif"/>
          <w:color w:val="000099"/>
          <w:sz w:val="22"/>
          <w:szCs w:val="22"/>
        </w:rPr>
        <w:t>4</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Контракту,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w:t>
      </w:r>
      <w:r w:rsidRPr="009E1499">
        <w:rPr>
          <w:rFonts w:ascii="PT Astra Serif" w:hAnsi="PT Astra Serif"/>
          <w:sz w:val="22"/>
          <w:szCs w:val="22"/>
        </w:rPr>
        <w:lastRenderedPageBreak/>
        <w:t>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исполнения Договора,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912318"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2F5378C0"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72760F12"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Pr="00912318">
        <w:rPr>
          <w:rFonts w:ascii="PT Astra Serif" w:hAnsi="PT Astra Serif" w:cs="Times New Roman"/>
          <w:sz w:val="22"/>
          <w:szCs w:val="22"/>
        </w:rPr>
        <w:t>Контракт</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6371A3A9"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A13002">
        <w:rPr>
          <w:rFonts w:ascii="PT Astra Serif" w:hAnsi="PT Astra Serif"/>
          <w:sz w:val="22"/>
          <w:szCs w:val="22"/>
        </w:rPr>
        <w:t xml:space="preserve"> №1</w:t>
      </w:r>
      <w:bookmarkStart w:id="11" w:name="_GoBack"/>
      <w:bookmarkEnd w:id="11"/>
    </w:p>
    <w:p w14:paraId="4C3AD0E2" w14:textId="5D18CE60" w:rsidR="00AB418B" w:rsidRPr="00912318" w:rsidRDefault="006D4600"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 xml:space="preserve">к гражданско-правовому договору </w:t>
      </w:r>
    </w:p>
    <w:p w14:paraId="61A3281E" w14:textId="3E63CA09"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5F0114" w14:textId="0F7DB2ED" w:rsidR="00607C5B" w:rsidRPr="00912318" w:rsidRDefault="000539F8" w:rsidP="00AB418B">
      <w:pPr>
        <w:autoSpaceDE w:val="0"/>
        <w:autoSpaceDN w:val="0"/>
        <w:adjustRightInd w:val="0"/>
        <w:spacing w:after="0"/>
        <w:ind w:firstLine="567"/>
        <w:jc w:val="center"/>
        <w:rPr>
          <w:rFonts w:ascii="PT Astra Serif" w:hAnsi="PT Astra Serif"/>
          <w:b/>
          <w:bCs/>
          <w:color w:val="000099"/>
          <w:sz w:val="22"/>
          <w:szCs w:val="22"/>
        </w:rPr>
      </w:pPr>
      <w:r>
        <w:rPr>
          <w:rFonts w:ascii="PT Astra Serif" w:hAnsi="PT Astra Serif"/>
          <w:b/>
          <w:bCs/>
          <w:sz w:val="22"/>
          <w:szCs w:val="22"/>
        </w:rPr>
        <w:t xml:space="preserve">Поставка кресел для актового зала образовательного учреждения </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801319">
      <w:pPr>
        <w:numPr>
          <w:ilvl w:val="0"/>
          <w:numId w:val="3"/>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0915" w:type="dxa"/>
        <w:tblInd w:w="-459" w:type="dxa"/>
        <w:tblLayout w:type="fixed"/>
        <w:tblLook w:val="04A0" w:firstRow="1" w:lastRow="0" w:firstColumn="1" w:lastColumn="0" w:noHBand="0" w:noVBand="1"/>
      </w:tblPr>
      <w:tblGrid>
        <w:gridCol w:w="567"/>
        <w:gridCol w:w="1418"/>
        <w:gridCol w:w="1417"/>
        <w:gridCol w:w="1276"/>
        <w:gridCol w:w="709"/>
        <w:gridCol w:w="709"/>
        <w:gridCol w:w="28"/>
        <w:gridCol w:w="1106"/>
        <w:gridCol w:w="1275"/>
        <w:gridCol w:w="1418"/>
        <w:gridCol w:w="992"/>
      </w:tblGrid>
      <w:tr w:rsidR="009E1499" w:rsidRPr="00912318" w14:paraId="3922733B" w14:textId="4EF3321C" w:rsidTr="00410A9B">
        <w:trPr>
          <w:trHeight w:val="406"/>
        </w:trPr>
        <w:tc>
          <w:tcPr>
            <w:tcW w:w="6124" w:type="dxa"/>
            <w:gridSpan w:val="7"/>
            <w:tcBorders>
              <w:top w:val="single" w:sz="8" w:space="0" w:color="auto"/>
              <w:left w:val="single" w:sz="8" w:space="0" w:color="auto"/>
              <w:bottom w:val="nil"/>
              <w:right w:val="single" w:sz="8" w:space="0" w:color="auto"/>
            </w:tcBorders>
          </w:tcPr>
          <w:p w14:paraId="04ED0174" w14:textId="1D2E631E"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Предмет</w:t>
            </w:r>
            <w:r w:rsidR="00677223">
              <w:rPr>
                <w:rFonts w:ascii="PT Astra Serif" w:hAnsi="PT Astra Serif"/>
                <w:sz w:val="22"/>
                <w:szCs w:val="22"/>
              </w:rPr>
              <w:t xml:space="preserve"> гражданско-правового договора </w:t>
            </w:r>
          </w:p>
        </w:tc>
        <w:tc>
          <w:tcPr>
            <w:tcW w:w="1106" w:type="dxa"/>
            <w:tcBorders>
              <w:top w:val="single" w:sz="8" w:space="0" w:color="auto"/>
              <w:left w:val="single" w:sz="8" w:space="0" w:color="auto"/>
              <w:right w:val="single" w:sz="8" w:space="0" w:color="auto"/>
            </w:tcBorders>
            <w:vAlign w:val="center"/>
          </w:tcPr>
          <w:p w14:paraId="135D7AA3"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275" w:type="dxa"/>
            <w:tcBorders>
              <w:top w:val="single" w:sz="8" w:space="0" w:color="auto"/>
              <w:left w:val="single" w:sz="8" w:space="0" w:color="auto"/>
              <w:right w:val="single" w:sz="8" w:space="0" w:color="auto"/>
            </w:tcBorders>
            <w:vAlign w:val="center"/>
          </w:tcPr>
          <w:p w14:paraId="04367B3D" w14:textId="1082ABFF" w:rsidR="009E1499" w:rsidRPr="00912318" w:rsidRDefault="009E1499"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c>
          <w:tcPr>
            <w:tcW w:w="1418" w:type="dxa"/>
            <w:tcBorders>
              <w:top w:val="single" w:sz="8" w:space="0" w:color="auto"/>
              <w:left w:val="single" w:sz="8" w:space="0" w:color="auto"/>
              <w:right w:val="single" w:sz="8" w:space="0" w:color="auto"/>
            </w:tcBorders>
          </w:tcPr>
          <w:p w14:paraId="664DF39C" w14:textId="67738FA7"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Номер реестровой записи</w:t>
            </w:r>
          </w:p>
        </w:tc>
        <w:tc>
          <w:tcPr>
            <w:tcW w:w="992" w:type="dxa"/>
            <w:tcBorders>
              <w:top w:val="single" w:sz="8" w:space="0" w:color="auto"/>
              <w:left w:val="single" w:sz="8" w:space="0" w:color="auto"/>
              <w:right w:val="single" w:sz="8" w:space="0" w:color="auto"/>
            </w:tcBorders>
          </w:tcPr>
          <w:p w14:paraId="62D63A0E" w14:textId="1211317C"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Совокупное количество баллов</w:t>
            </w:r>
          </w:p>
        </w:tc>
      </w:tr>
      <w:tr w:rsidR="009E1499" w:rsidRPr="00912318" w14:paraId="5E6E301A" w14:textId="4F7E1BC7" w:rsidTr="00410A9B">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9E1499" w:rsidRPr="00912318" w:rsidRDefault="009E1499"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9E1499" w:rsidRPr="00912318" w:rsidRDefault="009E1499" w:rsidP="00286DFC">
            <w:pPr>
              <w:spacing w:after="0"/>
              <w:jc w:val="center"/>
              <w:rPr>
                <w:rFonts w:ascii="PT Astra Serif" w:hAnsi="PT Astra Serif"/>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134" w:type="dxa"/>
            <w:gridSpan w:val="2"/>
            <w:tcBorders>
              <w:left w:val="single" w:sz="8" w:space="0" w:color="auto"/>
              <w:bottom w:val="nil"/>
              <w:right w:val="single" w:sz="8" w:space="0" w:color="auto"/>
            </w:tcBorders>
            <w:vAlign w:val="center"/>
          </w:tcPr>
          <w:p w14:paraId="64097B4C" w14:textId="77777777" w:rsidR="009E1499" w:rsidRPr="00912318" w:rsidRDefault="009E1499" w:rsidP="00286DFC">
            <w:pPr>
              <w:spacing w:after="0"/>
              <w:jc w:val="center"/>
              <w:rPr>
                <w:rFonts w:ascii="PT Astra Serif" w:hAnsi="PT Astra Serif"/>
                <w:sz w:val="22"/>
                <w:szCs w:val="22"/>
              </w:rPr>
            </w:pPr>
          </w:p>
        </w:tc>
        <w:tc>
          <w:tcPr>
            <w:tcW w:w="1275" w:type="dxa"/>
            <w:tcBorders>
              <w:left w:val="single" w:sz="8" w:space="0" w:color="auto"/>
              <w:bottom w:val="nil"/>
              <w:right w:val="single" w:sz="8" w:space="0" w:color="auto"/>
            </w:tcBorders>
            <w:vAlign w:val="center"/>
          </w:tcPr>
          <w:p w14:paraId="5ACBFB22" w14:textId="77777777" w:rsidR="009E1499" w:rsidRPr="00912318" w:rsidRDefault="009E1499" w:rsidP="00286DFC">
            <w:pPr>
              <w:spacing w:after="0"/>
              <w:jc w:val="center"/>
              <w:rPr>
                <w:rFonts w:ascii="PT Astra Serif" w:hAnsi="PT Astra Serif"/>
                <w:sz w:val="22"/>
                <w:szCs w:val="22"/>
              </w:rPr>
            </w:pPr>
          </w:p>
        </w:tc>
        <w:tc>
          <w:tcPr>
            <w:tcW w:w="1418" w:type="dxa"/>
            <w:tcBorders>
              <w:left w:val="single" w:sz="8" w:space="0" w:color="auto"/>
              <w:bottom w:val="nil"/>
              <w:right w:val="single" w:sz="8" w:space="0" w:color="auto"/>
            </w:tcBorders>
          </w:tcPr>
          <w:p w14:paraId="07F2C890" w14:textId="77777777" w:rsidR="009E1499" w:rsidRPr="00912318" w:rsidRDefault="009E1499" w:rsidP="00286DFC">
            <w:pPr>
              <w:spacing w:after="0"/>
              <w:jc w:val="center"/>
              <w:rPr>
                <w:rFonts w:ascii="PT Astra Serif" w:hAnsi="PT Astra Serif"/>
                <w:sz w:val="22"/>
                <w:szCs w:val="22"/>
              </w:rPr>
            </w:pPr>
          </w:p>
        </w:tc>
        <w:tc>
          <w:tcPr>
            <w:tcW w:w="992" w:type="dxa"/>
            <w:tcBorders>
              <w:left w:val="single" w:sz="8" w:space="0" w:color="auto"/>
              <w:bottom w:val="nil"/>
              <w:right w:val="single" w:sz="8" w:space="0" w:color="auto"/>
            </w:tcBorders>
          </w:tcPr>
          <w:p w14:paraId="33FC8253" w14:textId="77777777" w:rsidR="009E1499" w:rsidRPr="00912318" w:rsidRDefault="009E1499" w:rsidP="00286DFC">
            <w:pPr>
              <w:spacing w:after="0"/>
              <w:jc w:val="center"/>
              <w:rPr>
                <w:rFonts w:ascii="PT Astra Serif" w:hAnsi="PT Astra Serif"/>
                <w:sz w:val="22"/>
                <w:szCs w:val="22"/>
              </w:rPr>
            </w:pPr>
          </w:p>
        </w:tc>
      </w:tr>
      <w:tr w:rsidR="009E1499" w:rsidRPr="00912318" w14:paraId="48509435" w14:textId="79208C9B" w:rsidTr="00410A9B">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9E1499" w:rsidRPr="00912318" w:rsidRDefault="009E1499" w:rsidP="00286DFC">
            <w:pPr>
              <w:spacing w:after="0"/>
              <w:jc w:val="left"/>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9E1499" w:rsidRPr="00912318" w:rsidRDefault="009E1499" w:rsidP="00286DFC">
            <w:pPr>
              <w:spacing w:after="0"/>
              <w:jc w:val="left"/>
              <w:rPr>
                <w:rFonts w:ascii="PT Astra Serif" w:hAnsi="PT Astra Serif"/>
                <w:sz w:val="22"/>
                <w:szCs w:val="22"/>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5FE6711F"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268E9E03"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8" w:space="0" w:color="auto"/>
              <w:left w:val="single" w:sz="8" w:space="0" w:color="auto"/>
              <w:bottom w:val="single" w:sz="8" w:space="0" w:color="auto"/>
              <w:right w:val="single" w:sz="8" w:space="0" w:color="auto"/>
            </w:tcBorders>
          </w:tcPr>
          <w:p w14:paraId="407E4969" w14:textId="77777777" w:rsidR="009E1499" w:rsidRPr="00912318" w:rsidRDefault="009E1499" w:rsidP="00286DFC">
            <w:pPr>
              <w:spacing w:after="0"/>
              <w:jc w:val="center"/>
              <w:rPr>
                <w:rFonts w:ascii="PT Astra Serif" w:hAnsi="PT Astra Serif"/>
                <w:sz w:val="22"/>
                <w:szCs w:val="22"/>
              </w:rPr>
            </w:pPr>
          </w:p>
        </w:tc>
        <w:tc>
          <w:tcPr>
            <w:tcW w:w="992" w:type="dxa"/>
            <w:tcBorders>
              <w:top w:val="single" w:sz="8" w:space="0" w:color="auto"/>
              <w:left w:val="single" w:sz="8" w:space="0" w:color="auto"/>
              <w:bottom w:val="single" w:sz="8" w:space="0" w:color="auto"/>
              <w:right w:val="single" w:sz="8" w:space="0" w:color="auto"/>
            </w:tcBorders>
          </w:tcPr>
          <w:p w14:paraId="70BF0A12" w14:textId="77777777" w:rsidR="009E1499" w:rsidRPr="00912318" w:rsidRDefault="009E1499" w:rsidP="00286DFC">
            <w:pPr>
              <w:spacing w:after="0"/>
              <w:jc w:val="center"/>
              <w:rPr>
                <w:rFonts w:ascii="PT Astra Serif" w:hAnsi="PT Astra Serif"/>
                <w:sz w:val="22"/>
                <w:szCs w:val="22"/>
              </w:rPr>
            </w:pPr>
          </w:p>
        </w:tc>
      </w:tr>
      <w:tr w:rsidR="009E1499" w:rsidRPr="00912318" w14:paraId="0DAB5A76" w14:textId="6BF246CD" w:rsidTr="00410A9B">
        <w:trPr>
          <w:trHeight w:val="525"/>
        </w:trPr>
        <w:tc>
          <w:tcPr>
            <w:tcW w:w="3402" w:type="dxa"/>
            <w:gridSpan w:val="3"/>
            <w:tcBorders>
              <w:top w:val="single" w:sz="8" w:space="0" w:color="auto"/>
              <w:left w:val="single" w:sz="8" w:space="0" w:color="auto"/>
              <w:bottom w:val="single" w:sz="8" w:space="0" w:color="auto"/>
              <w:right w:val="single" w:sz="8" w:space="0" w:color="auto"/>
            </w:tcBorders>
          </w:tcPr>
          <w:p w14:paraId="56529B28" w14:textId="11CCBEED" w:rsidR="009E1499" w:rsidRPr="00912318" w:rsidRDefault="009E1499"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Договора</w:t>
            </w:r>
            <w:r w:rsidRPr="00912318">
              <w:rPr>
                <w:rFonts w:ascii="PT Astra Serif" w:hAnsi="PT Astra Serif"/>
                <w:b/>
                <w:sz w:val="22"/>
                <w:szCs w:val="22"/>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9E1499" w:rsidRPr="00912318" w:rsidRDefault="009E1499"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nil"/>
              <w:bottom w:val="single" w:sz="8" w:space="0" w:color="auto"/>
              <w:right w:val="single" w:sz="8" w:space="0" w:color="auto"/>
            </w:tcBorders>
          </w:tcPr>
          <w:p w14:paraId="2B753BB4"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nil"/>
              <w:bottom w:val="single" w:sz="8" w:space="0" w:color="auto"/>
              <w:right w:val="single" w:sz="8" w:space="0" w:color="auto"/>
            </w:tcBorders>
            <w:vAlign w:val="center"/>
          </w:tcPr>
          <w:p w14:paraId="4B802229" w14:textId="77777777" w:rsidR="009E1499" w:rsidRPr="00912318" w:rsidRDefault="009E1499" w:rsidP="00286DFC">
            <w:pPr>
              <w:spacing w:after="0"/>
              <w:jc w:val="center"/>
              <w:rPr>
                <w:rFonts w:ascii="PT Astra Serif" w:hAnsi="PT Astra Serif"/>
                <w:b/>
                <w:sz w:val="22"/>
                <w:szCs w:val="22"/>
              </w:rPr>
            </w:pPr>
          </w:p>
        </w:tc>
        <w:tc>
          <w:tcPr>
            <w:tcW w:w="1418" w:type="dxa"/>
            <w:tcBorders>
              <w:top w:val="single" w:sz="8" w:space="0" w:color="auto"/>
              <w:left w:val="nil"/>
              <w:bottom w:val="single" w:sz="8" w:space="0" w:color="auto"/>
              <w:right w:val="single" w:sz="8" w:space="0" w:color="auto"/>
            </w:tcBorders>
          </w:tcPr>
          <w:p w14:paraId="05974B90" w14:textId="77777777" w:rsidR="009E1499" w:rsidRPr="00912318" w:rsidRDefault="009E1499" w:rsidP="00286DFC">
            <w:pPr>
              <w:spacing w:after="0"/>
              <w:jc w:val="center"/>
              <w:rPr>
                <w:rFonts w:ascii="PT Astra Serif" w:hAnsi="PT Astra Serif"/>
                <w:b/>
                <w:sz w:val="22"/>
                <w:szCs w:val="22"/>
              </w:rPr>
            </w:pPr>
          </w:p>
        </w:tc>
        <w:tc>
          <w:tcPr>
            <w:tcW w:w="992" w:type="dxa"/>
            <w:tcBorders>
              <w:top w:val="single" w:sz="8" w:space="0" w:color="auto"/>
              <w:left w:val="nil"/>
              <w:bottom w:val="single" w:sz="8" w:space="0" w:color="auto"/>
              <w:right w:val="single" w:sz="8" w:space="0" w:color="auto"/>
            </w:tcBorders>
          </w:tcPr>
          <w:p w14:paraId="489326D3" w14:textId="77777777" w:rsidR="009E1499" w:rsidRPr="00912318" w:rsidRDefault="009E1499"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0B582F6B" w:rsidR="00286DFC" w:rsidRPr="00912318" w:rsidRDefault="00286DFC" w:rsidP="00286DFC">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sidR="00440026">
        <w:rPr>
          <w:rFonts w:ascii="PT Astra Serif" w:hAnsi="PT Astra Serif"/>
          <w:sz w:val="22"/>
          <w:szCs w:val="22"/>
        </w:rPr>
        <w:t>Договора</w:t>
      </w:r>
      <w:r w:rsidRPr="00912318">
        <w:rPr>
          <w:rFonts w:ascii="PT Astra Serif" w:hAnsi="PT Astra Serif"/>
          <w:sz w:val="22"/>
          <w:szCs w:val="22"/>
        </w:rPr>
        <w:t xml:space="preserve"> составляет _____________  (____________) 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807AAC">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6B00" w14:textId="77777777" w:rsidR="00F905CD" w:rsidRDefault="00F905CD">
      <w:r>
        <w:separator/>
      </w:r>
    </w:p>
  </w:endnote>
  <w:endnote w:type="continuationSeparator" w:id="0">
    <w:p w14:paraId="592BDE9E" w14:textId="77777777" w:rsidR="00F905CD" w:rsidRDefault="00F9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17A547B4"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13002">
      <w:rPr>
        <w:rStyle w:val="a6"/>
        <w:noProof/>
      </w:rPr>
      <w:t>14</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588B6" w14:textId="77777777" w:rsidR="00F905CD" w:rsidRDefault="00F905CD">
      <w:r>
        <w:separator/>
      </w:r>
    </w:p>
  </w:footnote>
  <w:footnote w:type="continuationSeparator" w:id="0">
    <w:p w14:paraId="4EDBE9B8" w14:textId="77777777" w:rsidR="00F905CD" w:rsidRDefault="00F905CD">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3749" w:rsidRDefault="00440026" w:rsidP="00C34E20">
      <w:pPr>
        <w:pStyle w:val="ConsPlusNormal"/>
        <w:ind w:firstLine="54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не превышает 3 млн рублей;</w:t>
      </w:r>
    </w:p>
    <w:p w14:paraId="74923BE9" w14:textId="4E0C06D5"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3 млн рублей до 50 млн рублей (включительно);</w:t>
      </w:r>
    </w:p>
    <w:p w14:paraId="29114F5C" w14:textId="0EB626A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 млн рублей до 100 млн рублей (включительно);</w:t>
      </w:r>
    </w:p>
    <w:p w14:paraId="181E3DB0" w14:textId="73195C7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100 млн рублей до 500 млн рублей (включительно);</w:t>
      </w:r>
    </w:p>
    <w:p w14:paraId="5B31446E" w14:textId="25DCE96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500 млн рублей до 1 млрд рублей (включительно);</w:t>
      </w:r>
    </w:p>
    <w:p w14:paraId="0C1B1258" w14:textId="5F55504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 млрд рублей до 2 млрд рублей (включительно);</w:t>
      </w:r>
    </w:p>
    <w:p w14:paraId="059B8068" w14:textId="67BEA012"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2 млрд рублей до 5 млрд рублей (включительно);</w:t>
      </w:r>
    </w:p>
    <w:p w14:paraId="3999BF5E" w14:textId="17465F2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 млрд рублей до 10 млрд рублей (включительно);</w:t>
      </w:r>
    </w:p>
    <w:p w14:paraId="5A4F4BB8" w14:textId="339CDD7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превышает 10 млрд рублей.</w:t>
      </w:r>
    </w:p>
    <w:p w14:paraId="2F18B221" w14:textId="3FDCEA0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но не более 5 тыс. рублей и не менее 1 тыс. рублей.</w:t>
      </w:r>
    </w:p>
    <w:p w14:paraId="61765F1F" w14:textId="5A07B2A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размер штрафа устанавливается в соответствии с пунктом 5 Правил:</w:t>
      </w:r>
    </w:p>
    <w:p w14:paraId="152C1EE0" w14:textId="5F61EAC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58A93F74" w14:textId="642FA8DD"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FF43B4D" w14:textId="14B5108B"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0793E3F9" w14:textId="740E78D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F9D899E" w14:textId="1DD1D274"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б)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69B55B25" w14:textId="7B509FB6"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D769818" w14:textId="2FCDE0C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79B5C202" w14:textId="4EB0F008" w:rsidR="00440026" w:rsidRPr="001C3749" w:rsidRDefault="00440026"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CE0B924" w14:textId="77777777" w:rsidR="00440026" w:rsidRPr="001C3749" w:rsidRDefault="00440026" w:rsidP="00C34E20">
      <w:pPr>
        <w:pStyle w:val="ConsPlusNormal"/>
        <w:ind w:firstLine="540"/>
        <w:jc w:val="both"/>
        <w:rPr>
          <w:rFonts w:ascii="PT Astra Serif" w:hAnsi="PT Astra Serif" w:cs="Times New Roman"/>
          <w:sz w:val="18"/>
        </w:rPr>
      </w:pPr>
    </w:p>
  </w:footnote>
  <w:footnote w:id="3">
    <w:p w14:paraId="642B820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D4272E9"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w:t>
      </w:r>
    </w:p>
    <w:p w14:paraId="1F91D2D5" w14:textId="0E7B910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3851FD63" w14:textId="2BE6E49B"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3C7287CC" w14:textId="5B475C8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10D065DE" w14:textId="77777777" w:rsidR="00440026" w:rsidRPr="00D77ED8" w:rsidRDefault="00440026" w:rsidP="00C34E20">
      <w:pPr>
        <w:pStyle w:val="af"/>
        <w:spacing w:after="0"/>
        <w:rPr>
          <w:sz w:val="12"/>
          <w:szCs w:val="18"/>
        </w:rPr>
      </w:pPr>
    </w:p>
  </w:footnote>
  <w:footnote w:id="4">
    <w:p w14:paraId="25E0B77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AD4199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 (включительно);</w:t>
      </w:r>
    </w:p>
    <w:p w14:paraId="057EF81F" w14:textId="5674489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73015FF3" w14:textId="49E43290"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6CAF14E" w14:textId="603FA7D8"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9F8"/>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E7A0E"/>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0A9B"/>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669"/>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B7B"/>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77223"/>
    <w:rsid w:val="006803B1"/>
    <w:rsid w:val="00681050"/>
    <w:rsid w:val="00682048"/>
    <w:rsid w:val="00682952"/>
    <w:rsid w:val="006832B2"/>
    <w:rsid w:val="00683C00"/>
    <w:rsid w:val="00685FD2"/>
    <w:rsid w:val="0068789A"/>
    <w:rsid w:val="006878BA"/>
    <w:rsid w:val="00690228"/>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600"/>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4BF6"/>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0FA7"/>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319"/>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3947"/>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3002"/>
    <w:rsid w:val="00A14A76"/>
    <w:rsid w:val="00A16C94"/>
    <w:rsid w:val="00A172B1"/>
    <w:rsid w:val="00A17CA8"/>
    <w:rsid w:val="00A213FA"/>
    <w:rsid w:val="00A21DC9"/>
    <w:rsid w:val="00A22524"/>
    <w:rsid w:val="00A23C6D"/>
    <w:rsid w:val="00A2403B"/>
    <w:rsid w:val="00A24D2A"/>
    <w:rsid w:val="00A26462"/>
    <w:rsid w:val="00A269B5"/>
    <w:rsid w:val="00A26D33"/>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097"/>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13F9"/>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A7141"/>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4E55"/>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05CD"/>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4E"/>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D7096"/>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01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F5B8-8F40-4334-B110-FB3F1B9D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14</Pages>
  <Words>8242</Words>
  <Characters>46985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55117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43</cp:revision>
  <cp:lastPrinted>2024-03-26T10:11:00Z</cp:lastPrinted>
  <dcterms:created xsi:type="dcterms:W3CDTF">2022-06-20T06:55:00Z</dcterms:created>
  <dcterms:modified xsi:type="dcterms:W3CDTF">2024-03-26T10:12:00Z</dcterms:modified>
</cp:coreProperties>
</file>